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МУНИЦИПАЛЬНОЕ ОБРАЗОВАНИЕ ГОРОД НОЯБРЬСК</w:t>
      </w:r>
    </w:p>
    <w:p>
      <w:pPr>
        <w:pStyle w:val="Normal"/>
        <w:spacing w:lineRule="auto" w:line="36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ГОРОДА НОЯБРЬСКА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4"/>
        <w:rPr>
          <w:rFonts w:ascii="PT Astra Serif" w:hAnsi="PT Astra Serif"/>
          <w:b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НАЧАЛЬНИК ДЕПАРТАМЕНТА ОБРАЗОВАНИЯ</w:t>
      </w:r>
    </w:p>
    <w:p>
      <w:pPr>
        <w:pStyle w:val="Normal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П  Р  И  К  А  З </w:t>
      </w:r>
      <w:r>
        <w:rPr>
          <w:rFonts w:ascii="PT Astra Serif" w:hAnsi="PT Astra Serif"/>
          <w:sz w:val="28"/>
          <w:szCs w:val="28"/>
        </w:rPr>
        <w:t>15.12.2021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1592 </w:t>
      </w:r>
      <w:r>
        <w:rPr>
          <w:rFonts w:ascii="PT Astra Serif" w:hAnsi="PT Astra Serif"/>
          <w:b/>
          <w:sz w:val="24"/>
          <w:szCs w:val="24"/>
        </w:rPr>
        <w:t>О проведении  контрольных мероприятий за выполнением  муниципального задания образовательными организациями города Ноябрьска в 2022 году</w:t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соответствии с Порядком осуществления контроля за выполнением муниципального задания на оказание муниципальных услуг образовательными учреждениями города Ноябрьска, утвержденным приказом департамента образования Администрации города Ноябрьска от 21.06.2016 № 01-11-636/107-100, Положением о департаменте образования, в целях повышения доступности и качества муниципальных услуг, обеспечения прозрачности достигнутых показателей, эффективности выполнения муниципальных заданий муниципальными образовательными учреждениями,  </w:t>
      </w:r>
      <w:r>
        <w:rPr>
          <w:rFonts w:ascii="PT Astra Serif" w:hAnsi="PT Astra Serif"/>
          <w:b/>
          <w:sz w:val="24"/>
          <w:szCs w:val="24"/>
        </w:rPr>
        <w:t>п р и к а з ы в а ю:</w:t>
      </w:r>
    </w:p>
    <w:p>
      <w:pPr>
        <w:pStyle w:val="Normal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Утвердить план-график проведения контроля за выполнением муниципального задания на оказание муниципальных услуг образовательными организациями в 2022 году (далее - План-график):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муниципальными общеобразовательными учреждениями и учреждениями дополнительного образования города Ноябрьска согласно приложению № 1 к настоящему приказу;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муниципальными дошкольными образовательными учреждениями города Ноябрьска согласно приложению № 2 к настоящему приказу.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Ответственным лицам (Тухватуллина Р.А., Краснова Н.Ю., Костенникова О.В.) обеспечить проведение контрольных мероприятий в соответствии с Планом-графиком.</w:t>
      </w:r>
    </w:p>
    <w:p>
      <w:pPr>
        <w:pStyle w:val="Normal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  МКУ «Централизованное обслуживание муниципальных учреждений системы образования Администрации города Ноябрьска» (Грузд С.Ю.) разместить настоящий приказ в информационно-телекоммуникационной сети «Интернет» на официальном сайте департамента образования Администрации города Ноябрьска.</w:t>
      </w:r>
    </w:p>
    <w:p>
      <w:pPr>
        <w:pStyle w:val="Normal"/>
        <w:ind w:firstLine="708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Срок: до 30.12.2021</w:t>
        <w:tab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  <w:tab w:val="left" w:pos="993" w:leader="none"/>
        </w:tabs>
        <w:ind w:left="0" w:firstLine="705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Контроль за исполнением настоящего приказа возложить на заместителя начальника департамента образования, начальника управления </w:t>
      </w:r>
      <w:r>
        <w:rPr>
          <w:rFonts w:ascii="PT Astra Serif" w:hAnsi="PT Astra Serif"/>
          <w:bCs/>
          <w:sz w:val="24"/>
          <w:szCs w:val="24"/>
        </w:rPr>
        <w:t>содержанием и стратегией развития образования</w:t>
        <w:tab/>
        <w:t>Прокопчук С.М.</w:t>
      </w:r>
    </w:p>
    <w:p>
      <w:pPr>
        <w:pStyle w:val="Normal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both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И.о. начальника департамента </w:t>
        <w:tab/>
        <w:tab/>
        <w:t xml:space="preserve">              </w:t>
        <w:tab/>
        <w:tab/>
        <w:tab/>
        <w:t xml:space="preserve">                 С.М. Прокопчук</w:t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BodyText2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BodyText2"/>
        <w:spacing w:before="0" w:after="0"/>
        <w:ind w:left="-851" w:hanging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Краснова Н.Ю.</w:t>
      </w:r>
    </w:p>
    <w:p>
      <w:pPr>
        <w:pStyle w:val="BodyText2"/>
        <w:spacing w:before="0" w:after="0"/>
        <w:ind w:left="-851" w:hanging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39-40-52</w:t>
      </w:r>
    </w:p>
    <w:p>
      <w:pPr>
        <w:pStyle w:val="BodyText2"/>
        <w:spacing w:before="0" w:after="0"/>
        <w:ind w:left="-851" w:hanging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Р.А. Тухватуллина </w:t>
      </w:r>
    </w:p>
    <w:p>
      <w:pPr>
        <w:pStyle w:val="BodyText2"/>
        <w:spacing w:before="0" w:after="0"/>
        <w:ind w:left="-851" w:hanging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34-58-47</w:t>
      </w:r>
    </w:p>
    <w:p>
      <w:pPr>
        <w:pStyle w:val="BodyText2"/>
        <w:spacing w:before="0" w:after="0"/>
        <w:ind w:left="-851" w:hanging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Костенникова О.В.</w:t>
      </w:r>
    </w:p>
    <w:p>
      <w:pPr>
        <w:pStyle w:val="BodyText2"/>
        <w:spacing w:before="0" w:after="0"/>
        <w:ind w:left="-851" w:hanging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34-53-51</w:t>
      </w:r>
    </w:p>
    <w:p>
      <w:pPr>
        <w:pStyle w:val="BodyText2"/>
        <w:ind w:left="-851" w:hanging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sectPr>
          <w:type w:val="nextPage"/>
          <w:pgSz w:w="11906" w:h="16838"/>
          <w:pgMar w:left="1418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BodyText2"/>
        <w:ind w:left="-851" w:hanging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Рассылка:  все ОО</w:t>
      </w:r>
    </w:p>
    <w:p>
      <w:pPr>
        <w:pStyle w:val="BodyText2"/>
        <w:ind w:firstLine="1119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Приложение № 1</w:t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</w:t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приказом начальника департамента образования Администрации города Ноябрьска</w:t>
      </w:r>
    </w:p>
    <w:p>
      <w:pPr>
        <w:pStyle w:val="Normal"/>
        <w:ind w:left="10491" w:firstLine="708"/>
        <w:jc w:val="both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от 15.12.2021 № 1592</w:t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План - график проведения контроля 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 выполнением муниципальными общеобразовательными учреждениями и учреждениями дополнительного образования города Ноябрьска муниципального задания на оказание муниципальных услуг в 2022 году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Style w:val="a4"/>
        <w:tblW w:w="15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5"/>
        <w:gridCol w:w="2580"/>
        <w:gridCol w:w="4395"/>
        <w:gridCol w:w="2126"/>
        <w:gridCol w:w="3940"/>
        <w:gridCol w:w="1559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58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Образовательное учреждение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Наименование муниципальной услуги (показателя муниципальной услуги)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Вид и форма проверки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Цель проведения проверки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Сроки проведения 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№5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документарная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показателей качества муниципальных услуг плановым значениям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январь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</w:t>
              <w:br/>
              <w:t>документарная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январь</w:t>
            </w:r>
          </w:p>
        </w:tc>
      </w:tr>
      <w:tr>
        <w:trPr>
          <w:trHeight w:val="750" w:hRule="atLeast"/>
        </w:trPr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№3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№10 с УИФиТД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3940" w:type="dxa"/>
            <w:tcBorders/>
          </w:tcPr>
          <w:p>
            <w:pPr>
              <w:pStyle w:val="BodyText2"/>
              <w:widowControl/>
              <w:spacing w:before="0" w:after="12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kern w:val="0"/>
                <w:szCs w:val="24"/>
                <w:lang w:val="ru-RU" w:bidi="ar-SA"/>
              </w:rPr>
              <w:t>Установление соответствия показателей качества муниципальных услуг плановым значениям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</w:tr>
      <w:tr>
        <w:trPr>
          <w:trHeight w:val="563" w:hRule="atLeast"/>
        </w:trPr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</w:t>
              <w:br/>
              <w:t>документарная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</w:tr>
      <w:tr>
        <w:trPr>
          <w:trHeight w:val="976" w:hRule="atLeast"/>
        </w:trPr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 8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 w:ascii="PT Astra Serif" w:hAnsi="PT Astra Serif"/>
                <w:kern w:val="0"/>
                <w:sz w:val="24"/>
                <w:szCs w:val="24"/>
                <w:lang w:val="ru-RU" w:bidi="ar-SA"/>
              </w:rPr>
              <w:t>Соблюдение установленного порядка оказания муниципальных услуг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 в части организации внеурочной деятельности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</w:t>
              <w:br/>
              <w:t>документарная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</w:tr>
      <w:tr>
        <w:trPr>
          <w:trHeight w:val="841" w:hRule="atLeast"/>
        </w:trPr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МБОУ СОШ №12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МБОУ СОШ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мкр. Вынгапуровский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 w:ascii="PT Astra Serif" w:hAnsi="PT Astra Serif"/>
                <w:kern w:val="0"/>
                <w:sz w:val="24"/>
                <w:szCs w:val="24"/>
                <w:lang w:val="ru-RU" w:bidi="ar-SA"/>
              </w:rPr>
              <w:t>Соблюдение установленного порядка оказания муниципальных услуг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 в части организации внеурочной деятельности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</w:t>
              <w:br/>
              <w:t>документарная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№2 УИИЯ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ind w:right="-108" w:hanging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 w:ascii="PT Astra Serif" w:hAnsi="PT Astra Serif"/>
                <w:kern w:val="0"/>
                <w:sz w:val="24"/>
                <w:szCs w:val="24"/>
                <w:lang w:val="ru-RU" w:bidi="ar-SA"/>
              </w:rPr>
              <w:t>Соблюдение установленного порядка оказания муниципальных услуг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 в части организации внеурочной деятельности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</w:t>
              <w:br/>
              <w:t>документарная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МАОУ СОШ № 9</w:t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№14</w:t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 w:ascii="PT Astra Serif" w:hAnsi="PT Astra Serif"/>
                <w:kern w:val="0"/>
                <w:sz w:val="24"/>
                <w:szCs w:val="24"/>
                <w:lang w:val="ru-RU" w:bidi="ar-SA"/>
              </w:rPr>
              <w:t>Соблюдение установленного порядка оказания муниципальных услуг в части приема, отчисления, восстановления и перевода обучающихся.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</w:t>
              <w:br/>
              <w:t>документарная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«Гимназия №1»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СОШ №13 с УИП эстетического цикла</w:t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Arial" w:ascii="PT Astra Serif" w:hAnsi="PT Astra Serif"/>
                <w:kern w:val="0"/>
                <w:sz w:val="24"/>
                <w:szCs w:val="24"/>
                <w:lang w:val="ru-RU" w:bidi="ar-SA"/>
              </w:rPr>
              <w:t>Соблюдение установленного порядка оказания муниципальной услуги по реализации программ углубленного изучения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</w:t>
              <w:br/>
              <w:t>документарная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58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МБОУ ДО «Центр детского творчества»,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МБОУ ДО «Центр интеллектуального развития Ювента»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Выездная/</w:t>
              <w:br/>
              <w:t>документарная</w:t>
            </w:r>
          </w:p>
        </w:tc>
        <w:tc>
          <w:tcPr>
            <w:tcW w:w="394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</w:tr>
    </w:tbl>
    <w:p>
      <w:pPr>
        <w:pStyle w:val="BodyText2"/>
        <w:ind w:left="10491" w:firstLine="708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</w:p>
    <w:p>
      <w:pPr>
        <w:pStyle w:val="BodyText2"/>
        <w:ind w:left="10491" w:firstLine="708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</w:p>
    <w:p>
      <w:pPr>
        <w:pStyle w:val="BodyText2"/>
        <w:ind w:left="10491" w:firstLine="708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BodyText2"/>
        <w:ind w:left="10491" w:firstLine="708"/>
        <w:rPr>
          <w:rFonts w:ascii="PT Astra Serif" w:hAnsi="PT Astra Serif"/>
          <w:color w:val="4F81BD" w:themeColor="accent1"/>
          <w:szCs w:val="24"/>
        </w:rPr>
      </w:pPr>
      <w:r>
        <w:rPr>
          <w:rFonts w:ascii="PT Astra Serif" w:hAnsi="PT Astra Serif"/>
          <w:color w:val="4F81BD" w:themeColor="accent1"/>
          <w:szCs w:val="24"/>
        </w:rPr>
      </w:r>
    </w:p>
    <w:p>
      <w:pPr>
        <w:pStyle w:val="BodyText2"/>
        <w:ind w:left="10491" w:firstLine="708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</w:r>
    </w:p>
    <w:p>
      <w:pPr>
        <w:pStyle w:val="BodyText2"/>
        <w:ind w:left="10491" w:firstLine="708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Приложение 2</w:t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</w:t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приказом начальника департамента образования Администрации города Ноябрьска</w:t>
      </w:r>
    </w:p>
    <w:p>
      <w:pPr>
        <w:pStyle w:val="Normal"/>
        <w:ind w:left="10491" w:firstLine="708"/>
        <w:jc w:val="both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от 15.12.2021 № 1592</w:t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План - график проведения контроля 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 выполнением муниципальными дошкольными образовательными учреждениями города Ноябрьска </w:t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муниципального задания на оказание муниципальных услуг в 2022 году </w:t>
      </w:r>
    </w:p>
    <w:p>
      <w:pPr>
        <w:pStyle w:val="Normal"/>
        <w:jc w:val="center"/>
        <w:rPr>
          <w:rFonts w:ascii="PT Astra Serif" w:hAnsi="PT Astra Serif"/>
          <w:color w:val="4F81BD" w:themeColor="accent1"/>
          <w:sz w:val="24"/>
          <w:szCs w:val="24"/>
        </w:rPr>
      </w:pPr>
      <w:r>
        <w:rPr>
          <w:rFonts w:ascii="PT Astra Serif" w:hAnsi="PT Astra Serif"/>
          <w:color w:val="4F81BD" w:themeColor="accent1"/>
          <w:sz w:val="24"/>
          <w:szCs w:val="24"/>
        </w:rPr>
      </w:r>
    </w:p>
    <w:tbl>
      <w:tblPr>
        <w:tblStyle w:val="a4"/>
        <w:tblW w:w="1531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87"/>
        <w:gridCol w:w="2431"/>
        <w:gridCol w:w="5103"/>
        <w:gridCol w:w="1701"/>
        <w:gridCol w:w="3970"/>
        <w:gridCol w:w="1417"/>
      </w:tblGrid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Наименование МБ(А)ДОУ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услуги (показателя муниципальной услуги)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Вид и форма проверки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Цель проведения проверки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Сроки проведения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«Колобок» «Синеглазка» «Теремок»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«Ягодка»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>Реализация основных общеобразовательных программ дошкольного образования (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Коэффициент посещаемости) (по всем категориям потребителей)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«Золотой ключик»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«Надежда»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«Ручеек»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(Укомплектованность кадрами в соответствии со штатным расписанием)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апрель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«Малыш»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«Мальвина»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«Машенька»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«Ромашка»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 xml:space="preserve">Присмотр и уход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(Отсутствие предписаний режимного характера </w:t>
            </w:r>
            <w:bookmarkStart w:id="0" w:name="_GoBack"/>
            <w:bookmarkEnd w:id="0"/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по выполнению требований пожарной безопасности в соответствии с правилами пожарной безопасности)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май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«Дюймовочка»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«Ласточка»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«Морозко»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«Улыбка»</w:t>
            </w:r>
          </w:p>
        </w:tc>
        <w:tc>
          <w:tcPr>
            <w:tcW w:w="510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hanging="0"/>
              <w:jc w:val="lef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PT Astra Serif" w:hAnsi="PT Astra Serif"/>
                <w:kern w:val="0"/>
                <w:sz w:val="24"/>
                <w:szCs w:val="24"/>
                <w:lang w:val="ru-RU" w:bidi="ar-SA"/>
              </w:rPr>
              <w:t>Присмотр и уход (Организация детского питания в соответствии с требованиями СанПиН)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«Крепыш»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«Мишутка»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«Снегурочка»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«Умка»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(Среднее число дней, пропущенных воспитанником по болезни) (по всем категориям потребителей)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«Аленький цветочек»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«Белоснежка»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«Волошка»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«Золотая рыбка»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(Объемные показатели)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октябрь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«Золушка»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«Родничок»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«Сказка»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Присмотр и уход (Отсутствие замечаний (предписаний) к выполнению требований по искусственному и естественному освещению помещений в соответствии с требованиями СанПиН)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«Колокольчик»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«Росинка»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«Лукоморье»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Присмотр и уход (Отсутствие замечаний к выполнению требований к отоплению и вентиляции здания (помещений) образовательного учреждения в соответствии с требованиями СанПиН)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en-US" w:bidi="ar-SA"/>
              </w:rPr>
              <w:t xml:space="preserve">декабрь   </w:t>
            </w:r>
          </w:p>
        </w:tc>
      </w:tr>
    </w:tbl>
    <w:p>
      <w:pPr>
        <w:pStyle w:val="BodyText2"/>
        <w:spacing w:before="0" w:after="120"/>
        <w:rPr>
          <w:rFonts w:ascii="PT Astra Serif" w:hAnsi="PT Astra Serif"/>
          <w:color w:val="4F81BD" w:themeColor="accent1"/>
          <w:szCs w:val="24"/>
        </w:rPr>
      </w:pPr>
      <w:r>
        <w:rPr/>
      </w:r>
    </w:p>
    <w:sectPr>
      <w:type w:val="nextPage"/>
      <w:pgSz w:orient="landscape" w:w="16838" w:h="11906"/>
      <w:pgMar w:left="1134" w:right="56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64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BodyText2"/>
    <w:qFormat/>
    <w:rsid w:val="0041645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ой текст (2)_"/>
    <w:link w:val="22"/>
    <w:qFormat/>
    <w:rsid w:val="006c3467"/>
    <w:rPr>
      <w:b/>
      <w:bCs/>
      <w:sz w:val="27"/>
      <w:szCs w:val="27"/>
      <w:shd w:fill="FFFFFF" w:val="clear"/>
    </w:rPr>
  </w:style>
  <w:style w:type="character" w:styleId="Style14" w:customStyle="1">
    <w:name w:val="Схема документа Знак"/>
    <w:basedOn w:val="DefaultParagraphFont"/>
    <w:link w:val="DocumentMap"/>
    <w:uiPriority w:val="99"/>
    <w:semiHidden/>
    <w:qFormat/>
    <w:rsid w:val="00453e7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2139d2"/>
    <w:rPr>
      <w:rFonts w:ascii="Tahoma" w:hAnsi="Tahoma" w:eastAsia="Times New Roman" w:cs="Tahoma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"/>
    <w:qFormat/>
    <w:rsid w:val="0041645e"/>
    <w:pPr>
      <w:spacing w:before="0" w:after="1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1645e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a0773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2" w:customStyle="1">
    <w:name w:val="Основной текст (2)"/>
    <w:basedOn w:val="Normal"/>
    <w:link w:val="21"/>
    <w:qFormat/>
    <w:rsid w:val="006c3467"/>
    <w:pPr>
      <w:widowControl w:val="false"/>
      <w:shd w:val="clear" w:color="auto" w:fill="FFFFFF"/>
      <w:spacing w:lineRule="atLeast" w:line="0" w:before="0" w:after="6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DocumentMap">
    <w:name w:val="Document Map"/>
    <w:basedOn w:val="Normal"/>
    <w:link w:val="Style14"/>
    <w:uiPriority w:val="99"/>
    <w:semiHidden/>
    <w:unhideWhenUsed/>
    <w:qFormat/>
    <w:rsid w:val="00453e72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2139d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45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Application>LibreOffice/7.3.7.2$Linux_X86_64 LibreOffice_project/30$Build-2</Application>
  <AppVersion>15.0000</AppVersion>
  <Pages>9</Pages>
  <Words>978</Words>
  <Characters>8192</Characters>
  <CharactersWithSpaces>9036</CharactersWithSpaces>
  <Paragraphs>205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2021-12-14T05:25:00Z</dcterms:created>
  <dc:creator>Dummy</dc:creator>
  <dc:description/>
  <dc:language>ru-RU</dc:language>
  <cp:lastModifiedBy/>
  <cp:lastPrinted>2021-12-14T10:32:00Z</cp:lastPrinted>
  <dcterms:modified xsi:type="dcterms:W3CDTF">2023-09-08T08:19:02Z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